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宋体"/>
          <w:b/>
          <w:sz w:val="24"/>
          <w:highlight w:val="none"/>
          <w:lang w:val="en-US" w:eastAsia="zh-CN"/>
        </w:rPr>
      </w:pPr>
      <w:bookmarkStart w:id="22" w:name="_GoBack"/>
      <w:r>
        <w:rPr>
          <w:b/>
          <w:sz w:val="24"/>
          <w:highlight w:val="none"/>
        </w:rPr>
        <w:t>3GPP TSG-SA WG1 Meeting #10</w:t>
      </w:r>
      <w:r>
        <w:rPr>
          <w:rFonts w:hint="eastAsia" w:eastAsia="宋体"/>
          <w:b/>
          <w:sz w:val="24"/>
          <w:highlight w:val="none"/>
          <w:lang w:val="en-US" w:eastAsia="zh-CN"/>
        </w:rPr>
        <w:t>7</w:t>
      </w:r>
      <w:r>
        <w:rPr>
          <w:b/>
          <w:sz w:val="24"/>
          <w:highlight w:val="none"/>
        </w:rPr>
        <w:t xml:space="preserve"> </w:t>
      </w:r>
      <w:r>
        <w:rPr>
          <w:b/>
          <w:sz w:val="24"/>
          <w:highlight w:val="none"/>
        </w:rPr>
        <w:tab/>
      </w:r>
      <w:r>
        <w:rPr>
          <w:b/>
          <w:sz w:val="24"/>
          <w:highlight w:val="none"/>
        </w:rPr>
        <w:t>S1-</w:t>
      </w:r>
      <w:r>
        <w:rPr>
          <w:rFonts w:hint="eastAsia"/>
          <w:b/>
          <w:sz w:val="24"/>
          <w:highlight w:val="none"/>
        </w:rPr>
        <w:t>242123</w:t>
      </w:r>
    </w:p>
    <w:bookmarkEnd w:id="22"/>
    <w:p>
      <w:pPr>
        <w:pStyle w:val="88"/>
        <w:tabs>
          <w:tab w:val="right" w:pos="9639"/>
        </w:tabs>
        <w:spacing w:after="0"/>
        <w:outlineLvl w:val="0"/>
        <w:rPr>
          <w:b/>
          <w:i/>
          <w:sz w:val="28"/>
        </w:rPr>
      </w:pPr>
      <w:r>
        <w:rPr>
          <w:rFonts w:hint="eastAsia"/>
          <w:b/>
          <w:sz w:val="24"/>
          <w:szCs w:val="24"/>
          <w:lang w:eastAsia="ja-JP"/>
        </w:rPr>
        <w:t>Maastricht</w:t>
      </w:r>
      <w:r>
        <w:rPr>
          <w:b/>
          <w:sz w:val="24"/>
          <w:szCs w:val="24"/>
          <w:lang w:eastAsia="ja-JP"/>
        </w:rPr>
        <w:t xml:space="preserve">, </w:t>
      </w:r>
      <w:r>
        <w:rPr>
          <w:rFonts w:hint="eastAsia"/>
          <w:b/>
          <w:sz w:val="24"/>
          <w:szCs w:val="24"/>
          <w:lang w:eastAsia="ja-JP"/>
        </w:rPr>
        <w:t>NL</w:t>
      </w:r>
      <w:r>
        <w:rPr>
          <w:b/>
          <w:sz w:val="24"/>
          <w:szCs w:val="24"/>
          <w:lang w:eastAsia="ja-JP"/>
        </w:rPr>
        <w:t xml:space="preserve">, </w:t>
      </w:r>
      <w:r>
        <w:rPr>
          <w:rFonts w:hint="eastAsia" w:eastAsia="宋体"/>
          <w:b/>
          <w:sz w:val="24"/>
          <w:szCs w:val="24"/>
          <w:lang w:val="en-US" w:eastAsia="zh-CN"/>
        </w:rPr>
        <w:t>19</w:t>
      </w:r>
      <w:r>
        <w:rPr>
          <w:b/>
          <w:sz w:val="24"/>
          <w:szCs w:val="24"/>
          <w:lang w:eastAsia="ja-JP"/>
        </w:rPr>
        <w:t xml:space="preserve"> - 2</w:t>
      </w:r>
      <w:r>
        <w:rPr>
          <w:rFonts w:hint="eastAsia" w:eastAsia="宋体"/>
          <w:b/>
          <w:sz w:val="24"/>
          <w:szCs w:val="24"/>
          <w:lang w:val="en-US" w:eastAsia="zh-CN"/>
        </w:rPr>
        <w:t>3</w:t>
      </w:r>
      <w:r>
        <w:rPr>
          <w:b/>
          <w:sz w:val="24"/>
          <w:szCs w:val="24"/>
          <w:lang w:eastAsia="ja-JP"/>
        </w:rPr>
        <w:t xml:space="preserve"> </w:t>
      </w:r>
      <w:r>
        <w:rPr>
          <w:rFonts w:hint="eastAsia" w:eastAsia="宋体"/>
          <w:b/>
          <w:sz w:val="24"/>
          <w:szCs w:val="24"/>
          <w:lang w:val="en-US" w:eastAsia="zh-CN"/>
        </w:rPr>
        <w:t>Aug</w:t>
      </w:r>
      <w:r>
        <w:rPr>
          <w:b/>
          <w:sz w:val="24"/>
          <w:szCs w:val="24"/>
          <w:lang w:eastAsia="ja-JP"/>
        </w:rPr>
        <w:t xml:space="preserve"> 2024</w:t>
      </w:r>
      <w:r>
        <w:rPr>
          <w:b/>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highlight w:val="none"/>
              </w:rPr>
            </w:pPr>
            <w:r>
              <w:rPr>
                <w:highlight w:val="none"/>
              </w:rPr>
              <w:fldChar w:fldCharType="begin"/>
            </w:r>
            <w:r>
              <w:rPr>
                <w:highlight w:val="none"/>
              </w:rPr>
              <w:instrText xml:space="preserve"> DOCPROPERTY  Spec#  \* MERGEFORMAT </w:instrText>
            </w:r>
            <w:r>
              <w:rPr>
                <w:highlight w:val="none"/>
              </w:rPr>
              <w:fldChar w:fldCharType="separate"/>
            </w:r>
            <w:r>
              <w:rPr>
                <w:rFonts w:hint="eastAsia" w:eastAsia="宋体"/>
                <w:b/>
                <w:sz w:val="28"/>
                <w:highlight w:val="none"/>
                <w:lang w:val="en-US" w:eastAsia="zh-CN"/>
              </w:rPr>
              <w:t>0797</w:t>
            </w:r>
            <w:r>
              <w:rPr>
                <w:b/>
                <w:sz w:val="28"/>
                <w:highlight w:val="none"/>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val="en-US" w:eastAsia="zh-CN"/>
              </w:rPr>
            </w:pPr>
            <w:r>
              <w:rPr>
                <w:rFonts w:hint="eastAsia" w:eastAsia="宋体"/>
                <w:b/>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rFonts w:hint="default"/>
                <w:b/>
                <w:sz w:val="28"/>
                <w:lang w:val="en-US"/>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 xml:space="preserve">CR for MiniWID on combined QoS configuration and monitoring </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000000" w:sz="4" w:space="0"/>
            </w:tcBorders>
            <w:shd w:val="pct30" w:color="FFFF00" w:fill="auto"/>
          </w:tcPr>
          <w:p>
            <w:pPr>
              <w:pStyle w:val="88"/>
              <w:spacing w:after="0"/>
              <w:ind w:left="100"/>
              <w:rPr>
                <w:rFonts w:hint="eastAsia" w:eastAsia="宋体"/>
                <w:highlight w:val="none"/>
                <w:lang w:val="en-US" w:eastAsia="zh-CN"/>
              </w:rPr>
            </w:pPr>
            <w:r>
              <w:rPr>
                <w:rFonts w:hint="eastAsia" w:eastAsia="宋体"/>
                <w:highlight w:val="none"/>
                <w:lang w:val="en-US" w:eastAsia="zh-CN"/>
              </w:rPr>
              <w:t>ZTE Corporation</w:t>
            </w:r>
            <w:r>
              <w:rPr>
                <w:rFonts w:hint="default"/>
                <w:highlight w:val="none"/>
                <w:lang w:val="en-US"/>
              </w:rPr>
              <w:t>,</w:t>
            </w:r>
            <w:r>
              <w:rPr>
                <w:rFonts w:hint="eastAsia" w:eastAsia="宋体"/>
                <w:highlight w:val="none"/>
                <w:lang w:eastAsia="zh-CN"/>
              </w:rPr>
              <w:t>vivo, AsianInfo</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000000" w:sz="4" w:space="0"/>
            </w:tcBorders>
            <w:shd w:val="pct30" w:color="FFFF00" w:fill="auto"/>
          </w:tcPr>
          <w:p>
            <w:pPr>
              <w:pStyle w:val="88"/>
              <w:spacing w:after="0"/>
              <w:ind w:left="100"/>
              <w:rPr>
                <w:highlight w:val="none"/>
              </w:rPr>
            </w:pPr>
            <w:r>
              <w:rPr>
                <w:highlight w:val="none"/>
              </w:rP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highlight w:val="none"/>
              </w:rPr>
            </w:pPr>
          </w:p>
        </w:tc>
        <w:tc>
          <w:tcPr>
            <w:tcW w:w="7797" w:type="dxa"/>
            <w:gridSpan w:val="10"/>
            <w:tcBorders>
              <w:right w:val="single" w:color="000000"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highlight w:val="none"/>
              </w:rPr>
            </w:pPr>
            <w:r>
              <w:rPr>
                <w:b/>
                <w:i/>
                <w:highlight w:val="none"/>
              </w:rPr>
              <w:t>Work item code:</w:t>
            </w:r>
          </w:p>
        </w:tc>
        <w:tc>
          <w:tcPr>
            <w:tcW w:w="3685" w:type="dxa"/>
            <w:gridSpan w:val="5"/>
            <w:shd w:val="pct30" w:color="FFFF00" w:fill="auto"/>
          </w:tcPr>
          <w:p>
            <w:pPr>
              <w:pStyle w:val="88"/>
              <w:spacing w:after="0"/>
              <w:ind w:left="100"/>
              <w:rPr>
                <w:rFonts w:hint="default" w:eastAsia="宋体"/>
                <w:highlight w:val="none"/>
                <w:lang w:val="en-US" w:eastAsia="zh-CN"/>
              </w:rPr>
            </w:pPr>
          </w:p>
        </w:tc>
        <w:tc>
          <w:tcPr>
            <w:tcW w:w="567" w:type="dxa"/>
          </w:tcPr>
          <w:p>
            <w:pPr>
              <w:pStyle w:val="88"/>
              <w:spacing w:after="0"/>
              <w:ind w:right="100"/>
              <w:rPr>
                <w:highlight w:val="none"/>
              </w:rPr>
            </w:pPr>
          </w:p>
        </w:tc>
        <w:tc>
          <w:tcPr>
            <w:tcW w:w="1418" w:type="dxa"/>
            <w:gridSpan w:val="3"/>
          </w:tcPr>
          <w:p>
            <w:pPr>
              <w:pStyle w:val="88"/>
              <w:spacing w:after="0"/>
              <w:jc w:val="right"/>
              <w:rPr>
                <w:highlight w:val="none"/>
              </w:rPr>
            </w:pPr>
            <w:r>
              <w:rPr>
                <w:b/>
                <w:i/>
                <w:highlight w:val="none"/>
              </w:rPr>
              <w:t>Date:</w:t>
            </w:r>
          </w:p>
        </w:tc>
        <w:tc>
          <w:tcPr>
            <w:tcW w:w="2127" w:type="dxa"/>
            <w:tcBorders>
              <w:right w:val="single" w:color="000000" w:sz="4" w:space="0"/>
            </w:tcBorders>
            <w:shd w:val="pct30" w:color="FFFF00" w:fill="auto"/>
          </w:tcPr>
          <w:p>
            <w:pPr>
              <w:pStyle w:val="88"/>
              <w:spacing w:after="0"/>
              <w:ind w:left="100"/>
              <w:rPr>
                <w:rFonts w:hint="default" w:eastAsia="宋体"/>
                <w:highlight w:val="none"/>
                <w:lang w:val="en-US" w:eastAsia="zh-CN"/>
              </w:rPr>
            </w:pPr>
            <w:r>
              <w:rPr>
                <w:highlight w:val="none"/>
              </w:rPr>
              <w:t>2024-0</w:t>
            </w:r>
            <w:r>
              <w:rPr>
                <w:rFonts w:hint="eastAsia" w:eastAsia="宋体"/>
                <w:highlight w:val="none"/>
                <w:lang w:val="en-US" w:eastAsia="zh-CN"/>
              </w:rPr>
              <w:t>7</w:t>
            </w:r>
            <w:r>
              <w:rPr>
                <w:highlight w:val="none"/>
              </w:rPr>
              <w:t>-</w:t>
            </w:r>
            <w:r>
              <w:rPr>
                <w:rFonts w:hint="default" w:eastAsia="宋体"/>
                <w:highlight w:val="none"/>
                <w:lang w:val="en-US" w:eastAsia="zh-CN"/>
              </w:rPr>
              <w:t>30</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rPr>
                <w:b/>
                <w:bCs/>
              </w:rP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pPr>
            <w:r>
              <w:fldChar w:fldCharType="begin"/>
            </w:r>
            <w:r>
              <w:instrText xml:space="preserve">DOCPROPERTY "Release"</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numPr>
                <w:ilvl w:val="255"/>
                <w:numId w:val="0"/>
              </w:numPr>
              <w:adjustRightInd w:val="0"/>
              <w:snapToGrid w:val="0"/>
              <w:spacing w:before="120" w:after="120"/>
              <w:rPr>
                <w:rFonts w:ascii="Arial" w:hAnsi="Arial" w:eastAsia="宋体" w:cs="Arial"/>
                <w:lang w:val="en-US" w:eastAsia="zh-CN"/>
              </w:rPr>
            </w:pPr>
            <w:r>
              <w:rPr>
                <w:rFonts w:ascii="Arial" w:hAnsi="Arial" w:cs="Arial"/>
              </w:rPr>
              <w:t xml:space="preserve">3GPP has specified group communication </w:t>
            </w:r>
            <w:r>
              <w:rPr>
                <w:rFonts w:hint="default" w:ascii="Arial" w:hAnsi="Arial" w:eastAsia="宋体" w:cs="Arial"/>
                <w:lang w:val="en-US" w:eastAsia="zh-CN"/>
              </w:rPr>
              <w:t xml:space="preserve">and management </w:t>
            </w:r>
            <w:r>
              <w:rPr>
                <w:rFonts w:ascii="Arial" w:hAnsi="Arial" w:cs="Arial"/>
              </w:rPr>
              <w:t xml:space="preserve">related requirements in </w:t>
            </w:r>
            <w:r>
              <w:rPr>
                <w:rFonts w:ascii="Arial" w:hAnsi="Arial" w:eastAsia="宋体" w:cs="Arial"/>
                <w:lang w:val="en-US" w:eastAsia="zh-CN"/>
              </w:rPr>
              <w:t>different specifications(e.g. TS 22.468, T</w:t>
            </w:r>
            <w:r>
              <w:rPr>
                <w:rFonts w:hint="default" w:ascii="Arial" w:hAnsi="Arial" w:eastAsia="宋体" w:cs="Arial"/>
                <w:lang w:val="en-US" w:eastAsia="zh-CN"/>
              </w:rPr>
              <w:t>R</w:t>
            </w:r>
            <w:r>
              <w:rPr>
                <w:rFonts w:ascii="Arial" w:hAnsi="Arial" w:eastAsia="宋体" w:cs="Arial"/>
                <w:lang w:val="en-US" w:eastAsia="zh-CN"/>
              </w:rPr>
              <w:t xml:space="preserve"> 22.874, TR 22.876, TS 22.261 )</w:t>
            </w:r>
            <w:r>
              <w:rPr>
                <w:rFonts w:ascii="Arial" w:hAnsi="Arial" w:cs="Arial"/>
              </w:rPr>
              <w:t>, which mainly focus on forming a collection of devices</w:t>
            </w:r>
            <w:r>
              <w:rPr>
                <w:rFonts w:hint="default" w:ascii="Arial" w:hAnsi="Arial" w:eastAsia="宋体" w:cs="Arial"/>
                <w:lang w:val="en-US" w:eastAsia="zh-CN"/>
              </w:rPr>
              <w:t xml:space="preserve"> by the application layer </w:t>
            </w:r>
            <w:r>
              <w:rPr>
                <w:rFonts w:ascii="Arial" w:hAnsi="Arial" w:cs="Arial"/>
              </w:rPr>
              <w:t>to operate, e.g., a collection of smart home equipment or wearable</w:t>
            </w:r>
            <w:r>
              <w:rPr>
                <w:rFonts w:hint="default" w:ascii="Arial" w:hAnsi="Arial" w:cs="Arial"/>
                <w:lang w:val="en-US" w:eastAsia="zh-CN"/>
              </w:rPr>
              <w:t xml:space="preserve"> equipment</w:t>
            </w:r>
            <w:r>
              <w:rPr>
                <w:rFonts w:ascii="Arial" w:hAnsi="Arial" w:cs="Arial"/>
              </w:rPr>
              <w:t xml:space="preserve">. However, </w:t>
            </w:r>
            <w:r>
              <w:rPr>
                <w:rFonts w:hint="default" w:ascii="Arial" w:hAnsi="Arial" w:eastAsia="宋体" w:cs="Arial"/>
                <w:lang w:val="en-US" w:eastAsia="zh-CN"/>
              </w:rPr>
              <w:t xml:space="preserve">considering the variable </w:t>
            </w:r>
            <w:r>
              <w:rPr>
                <w:rFonts w:ascii="Arial" w:hAnsi="Arial" w:eastAsia="宋体" w:cs="Arial"/>
                <w:lang w:val="en-US" w:eastAsia="zh-CN"/>
              </w:rPr>
              <w:t xml:space="preserve">network </w:t>
            </w:r>
            <w:r>
              <w:rPr>
                <w:rFonts w:hint="default" w:ascii="Arial" w:hAnsi="Arial" w:eastAsia="宋体" w:cs="Arial"/>
                <w:lang w:val="en-US" w:eastAsia="zh-CN"/>
              </w:rPr>
              <w:t>conditions and status inside/outside the group during the operation,</w:t>
            </w:r>
            <w:r>
              <w:rPr>
                <w:rFonts w:ascii="Arial" w:hAnsi="Arial" w:eastAsia="宋体" w:cs="Arial"/>
                <w:lang w:val="en-US" w:eastAsia="zh-CN"/>
              </w:rPr>
              <w:t xml:space="preserve"> following challenge</w:t>
            </w:r>
            <w:r>
              <w:rPr>
                <w:rFonts w:hint="default" w:ascii="Arial" w:hAnsi="Arial" w:eastAsia="宋体" w:cs="Arial"/>
                <w:lang w:val="en-US" w:eastAsia="zh-CN"/>
              </w:rPr>
              <w:t>s</w:t>
            </w:r>
            <w:r>
              <w:rPr>
                <w:rFonts w:ascii="Arial" w:hAnsi="Arial" w:eastAsia="宋体" w:cs="Arial"/>
                <w:lang w:val="en-US" w:eastAsia="zh-CN"/>
              </w:rPr>
              <w:t xml:space="preserve"> need be further considered: </w:t>
            </w:r>
          </w:p>
          <w:p>
            <w:pPr>
              <w:numPr>
                <w:ilvl w:val="0"/>
                <w:numId w:val="1"/>
              </w:numPr>
              <w:adjustRightInd w:val="0"/>
              <w:snapToGrid w:val="0"/>
              <w:spacing w:before="120" w:after="120"/>
              <w:jc w:val="both"/>
              <w:rPr>
                <w:rFonts w:ascii="Arial" w:hAnsi="Arial" w:cs="Arial"/>
                <w:lang w:val="en-US" w:eastAsia="zh-CN"/>
              </w:rPr>
            </w:pPr>
            <w:r>
              <w:rPr>
                <w:rFonts w:ascii="Arial" w:hAnsi="Arial" w:cs="Arial"/>
                <w:lang w:val="en-US" w:eastAsia="zh-CN"/>
              </w:rPr>
              <w:t xml:space="preserve">For one application, when communication service is provided, there are </w:t>
            </w:r>
            <w:r>
              <w:rPr>
                <w:rFonts w:hint="default" w:ascii="Arial" w:hAnsi="Arial" w:cs="Arial"/>
                <w:lang w:val="en-US" w:eastAsia="zh-CN"/>
              </w:rPr>
              <w:t xml:space="preserve">multiple </w:t>
            </w:r>
            <w:r>
              <w:rPr>
                <w:rFonts w:ascii="Arial" w:hAnsi="Arial" w:cs="Arial"/>
                <w:lang w:val="en-US" w:eastAsia="zh-CN"/>
              </w:rPr>
              <w:t xml:space="preserve">session </w:t>
            </w:r>
            <w:r>
              <w:rPr>
                <w:rFonts w:hint="default" w:ascii="Arial" w:hAnsi="Arial" w:cs="Arial"/>
                <w:lang w:val="en-US" w:eastAsia="zh-CN"/>
              </w:rPr>
              <w:t xml:space="preserve">flows </w:t>
            </w:r>
            <w:r>
              <w:rPr>
                <w:rFonts w:ascii="Arial" w:hAnsi="Arial" w:cs="Arial"/>
                <w:lang w:val="en-US" w:eastAsia="zh-CN"/>
              </w:rPr>
              <w:t>related</w:t>
            </w:r>
            <w:r>
              <w:rPr>
                <w:rFonts w:hint="default" w:ascii="Arial" w:hAnsi="Arial" w:cs="Arial"/>
                <w:lang w:val="en-US" w:eastAsia="zh-CN"/>
              </w:rPr>
              <w:t xml:space="preserve"> </w:t>
            </w:r>
            <w:r>
              <w:rPr>
                <w:rFonts w:ascii="Arial" w:hAnsi="Arial" w:cs="Arial"/>
                <w:lang w:val="en-US" w:eastAsia="zh-CN"/>
              </w:rPr>
              <w:t xml:space="preserve">with selected </w:t>
            </w:r>
            <w:r>
              <w:rPr>
                <w:rFonts w:hint="default" w:ascii="Arial" w:hAnsi="Arial" w:cs="Arial"/>
                <w:lang w:val="en-US" w:eastAsia="zh-CN"/>
              </w:rPr>
              <w:t xml:space="preserve">UEs </w:t>
            </w:r>
            <w:r>
              <w:rPr>
                <w:rFonts w:ascii="Arial" w:hAnsi="Arial" w:cs="Arial"/>
                <w:lang w:val="en-US" w:eastAsia="zh-CN"/>
              </w:rPr>
              <w:t xml:space="preserve">which </w:t>
            </w:r>
            <w:r>
              <w:rPr>
                <w:rFonts w:hint="default" w:ascii="Arial" w:hAnsi="Arial" w:cs="Arial"/>
                <w:lang w:val="en-US" w:eastAsia="zh-CN"/>
              </w:rPr>
              <w:t xml:space="preserve">are </w:t>
            </w:r>
            <w:r>
              <w:rPr>
                <w:rFonts w:ascii="Arial" w:hAnsi="Arial" w:cs="Arial"/>
                <w:lang w:val="en-US" w:eastAsia="zh-CN"/>
              </w:rPr>
              <w:t>construct</w:t>
            </w:r>
            <w:r>
              <w:rPr>
                <w:rFonts w:hint="default" w:ascii="Arial" w:hAnsi="Arial" w:cs="Arial"/>
                <w:lang w:val="en-US" w:eastAsia="zh-CN"/>
              </w:rPr>
              <w:t>ed</w:t>
            </w:r>
            <w:r>
              <w:rPr>
                <w:rFonts w:ascii="Arial" w:hAnsi="Arial" w:cs="Arial"/>
                <w:lang w:val="en-US" w:eastAsia="zh-CN"/>
              </w:rPr>
              <w:t xml:space="preserve"> as </w:t>
            </w:r>
            <w:r>
              <w:rPr>
                <w:rFonts w:hint="default" w:ascii="Arial" w:hAnsi="Arial" w:cs="Arial"/>
                <w:lang w:val="en-US" w:eastAsia="zh-CN"/>
              </w:rPr>
              <w:t>a working group,  </w:t>
            </w:r>
            <w:r>
              <w:rPr>
                <w:rFonts w:ascii="Arial" w:hAnsi="Arial" w:cs="Arial"/>
                <w:lang w:val="en-US" w:eastAsia="zh-CN"/>
              </w:rPr>
              <w:t xml:space="preserve">thus, not only the QoS demand for each session flow but also the overall QoS demand from the application aspect need to be considered </w:t>
            </w:r>
            <w:r>
              <w:rPr>
                <w:rFonts w:hint="default" w:ascii="Arial" w:hAnsi="Arial" w:cs="Arial"/>
                <w:lang w:val="en-US" w:eastAsia="zh-CN"/>
              </w:rPr>
              <w:t xml:space="preserve">e.g., combined </w:t>
            </w:r>
            <w:r>
              <w:rPr>
                <w:rFonts w:ascii="Arial" w:hAnsi="Arial" w:cs="Arial"/>
                <w:lang w:val="en-US" w:eastAsia="zh-CN"/>
              </w:rPr>
              <w:t>latency</w:t>
            </w:r>
            <w:r>
              <w:rPr>
                <w:rFonts w:hint="default" w:ascii="Arial" w:hAnsi="Arial" w:cs="Arial"/>
                <w:lang w:val="en-US" w:eastAsia="zh-CN"/>
              </w:rPr>
              <w:t> requirement </w:t>
            </w:r>
            <w:r>
              <w:rPr>
                <w:rFonts w:ascii="Arial" w:hAnsi="Arial" w:cs="Arial"/>
                <w:lang w:val="en-US" w:eastAsia="zh-CN"/>
              </w:rPr>
              <w:t>from the application aspect</w:t>
            </w:r>
            <w:r>
              <w:rPr>
                <w:rFonts w:hint="default" w:ascii="Arial" w:hAnsi="Arial" w:cs="Arial"/>
                <w:lang w:val="en-US" w:eastAsia="zh-CN"/>
              </w:rPr>
              <w:t>.</w:t>
            </w:r>
          </w:p>
          <w:p>
            <w:pPr>
              <w:numPr>
                <w:ilvl w:val="0"/>
                <w:numId w:val="1"/>
              </w:numPr>
              <w:adjustRightInd w:val="0"/>
              <w:snapToGrid w:val="0"/>
              <w:spacing w:before="120" w:after="120"/>
              <w:jc w:val="both"/>
              <w:rPr>
                <w:rFonts w:ascii="Arial" w:hAnsi="Arial" w:cs="Arial"/>
                <w:lang w:val="en-US" w:eastAsia="zh-CN"/>
              </w:rPr>
            </w:pPr>
            <w:r>
              <w:rPr>
                <w:rFonts w:hint="default" w:ascii="Arial" w:hAnsi="Arial" w:cs="Arial"/>
                <w:lang w:val="en-US" w:eastAsia="zh-CN"/>
              </w:rPr>
              <w:t xml:space="preserve">In general, it requires </w:t>
            </w:r>
            <w:r>
              <w:rPr>
                <w:rFonts w:ascii="Arial" w:hAnsi="Arial" w:cs="Arial"/>
                <w:lang w:val="en-US" w:eastAsia="zh-CN"/>
              </w:rPr>
              <w:t xml:space="preserve">not only to monitor </w:t>
            </w:r>
            <w:r>
              <w:rPr>
                <w:rFonts w:hint="default" w:ascii="Arial" w:hAnsi="Arial" w:cs="Arial"/>
                <w:lang w:val="en-US" w:eastAsia="zh-CN"/>
              </w:rPr>
              <w:t xml:space="preserve">the </w:t>
            </w:r>
            <w:r>
              <w:rPr>
                <w:rFonts w:ascii="Arial" w:hAnsi="Arial" w:cs="Arial"/>
                <w:lang w:val="en-US" w:eastAsia="zh-CN"/>
              </w:rPr>
              <w:t xml:space="preserve">communication </w:t>
            </w:r>
            <w:r>
              <w:rPr>
                <w:rFonts w:hint="default" w:ascii="Arial" w:hAnsi="Arial" w:cs="Arial"/>
                <w:lang w:val="en-US" w:eastAsia="zh-CN"/>
              </w:rPr>
              <w:t xml:space="preserve">QoS </w:t>
            </w:r>
            <w:r>
              <w:rPr>
                <w:rFonts w:ascii="Arial" w:hAnsi="Arial" w:cs="Arial"/>
                <w:lang w:val="en-US" w:eastAsia="zh-CN"/>
              </w:rPr>
              <w:t>status of</w:t>
            </w:r>
            <w:r>
              <w:rPr>
                <w:rFonts w:hint="default" w:ascii="Arial" w:hAnsi="Arial" w:cs="Arial"/>
                <w:lang w:val="en-US" w:eastAsia="zh-CN"/>
              </w:rPr>
              <w:t xml:space="preserve"> the multiple PDU sessions within </w:t>
            </w:r>
            <w:r>
              <w:rPr>
                <w:rFonts w:ascii="Arial" w:hAnsi="Arial" w:cs="Arial"/>
                <w:lang w:val="en-US" w:eastAsia="zh-CN"/>
              </w:rPr>
              <w:t>the</w:t>
            </w:r>
            <w:r>
              <w:rPr>
                <w:rFonts w:hint="default" w:ascii="Arial" w:hAnsi="Arial" w:cs="Arial"/>
                <w:lang w:val="en-US" w:eastAsia="zh-CN"/>
              </w:rPr>
              <w:t xml:space="preserve"> </w:t>
            </w:r>
            <w:r>
              <w:rPr>
                <w:rFonts w:ascii="Arial" w:hAnsi="Arial" w:cs="Arial"/>
                <w:lang w:val="en-US" w:eastAsia="zh-CN"/>
              </w:rPr>
              <w:t xml:space="preserve">above </w:t>
            </w:r>
            <w:r>
              <w:rPr>
                <w:rFonts w:hint="default" w:ascii="Arial" w:hAnsi="Arial" w:cs="Arial"/>
                <w:lang w:val="en-US" w:eastAsia="zh-CN"/>
              </w:rPr>
              <w:t>working group</w:t>
            </w:r>
            <w:r>
              <w:rPr>
                <w:rFonts w:ascii="Arial" w:hAnsi="Arial" w:cs="Arial"/>
                <w:lang w:val="en-US" w:eastAsia="zh-CN"/>
              </w:rPr>
              <w:t xml:space="preserve">, but also the </w:t>
            </w:r>
            <w:r>
              <w:rPr>
                <w:rFonts w:hint="default" w:ascii="Arial" w:hAnsi="Arial" w:cs="Arial"/>
                <w:lang w:val="en-US" w:eastAsia="zh-CN"/>
              </w:rPr>
              <w:t xml:space="preserve">combined </w:t>
            </w:r>
            <w:r>
              <w:rPr>
                <w:rFonts w:ascii="Arial" w:hAnsi="Arial" w:cs="Arial"/>
                <w:lang w:val="en-US" w:eastAsia="zh-CN"/>
              </w:rPr>
              <w:t>communication QoS status from the application aspect</w:t>
            </w:r>
            <w:r>
              <w:rPr>
                <w:rFonts w:hint="default" w:ascii="Arial" w:hAnsi="Arial" w:cs="Arial"/>
                <w:lang w:val="en-US" w:eastAsia="zh-CN"/>
              </w:rPr>
              <w:t>.</w:t>
            </w:r>
          </w:p>
          <w:p>
            <w:pPr>
              <w:adjustRightInd w:val="0"/>
              <w:snapToGrid w:val="0"/>
              <w:spacing w:before="120" w:after="120"/>
              <w:jc w:val="both"/>
              <w:rPr>
                <w:rFonts w:ascii="Arial" w:hAnsi="Arial" w:cs="Arial"/>
                <w:lang w:val="en-US" w:eastAsia="zh-CN"/>
              </w:rPr>
            </w:pPr>
            <w:r>
              <w:rPr>
                <w:rFonts w:hint="eastAsia" w:ascii="Arial" w:hAnsi="Arial" w:cs="Arial"/>
                <w:lang w:val="en-US" w:eastAsia="zh-CN"/>
              </w:rPr>
              <w:t>S</w:t>
            </w:r>
            <w:r>
              <w:rPr>
                <w:rFonts w:ascii="Arial" w:hAnsi="Arial" w:cs="Arial"/>
                <w:lang w:val="en-US" w:eastAsia="zh-CN"/>
              </w:rPr>
              <w:t xml:space="preserve">upporting combined QoS can’t be simply equal to support the QoS of every session flow in the working group. </w:t>
            </w:r>
            <w:r>
              <w:rPr>
                <w:rFonts w:hint="default" w:ascii="Arial" w:hAnsi="Arial" w:cs="Arial"/>
                <w:lang w:val="en-US" w:eastAsia="zh-CN"/>
              </w:rPr>
              <w:t>With such combined QoS policy and monitoring, t</w:t>
            </w:r>
            <w:r>
              <w:rPr>
                <w:rFonts w:ascii="Arial" w:hAnsi="Arial" w:cs="Arial"/>
                <w:lang w:val="en-US" w:eastAsia="zh-CN"/>
              </w:rPr>
              <w:t xml:space="preserve">he </w:t>
            </w:r>
            <w:r>
              <w:rPr>
                <w:rFonts w:hint="default" w:ascii="Arial" w:hAnsi="Arial" w:cs="Arial"/>
                <w:lang w:val="en-US" w:eastAsia="zh-CN"/>
              </w:rPr>
              <w:t xml:space="preserve">following advantages </w:t>
            </w:r>
            <w:r>
              <w:rPr>
                <w:rFonts w:ascii="Arial" w:hAnsi="Arial" w:cs="Arial"/>
                <w:lang w:val="en-US" w:eastAsia="zh-CN"/>
              </w:rPr>
              <w:t>could be achieved</w:t>
            </w:r>
          </w:p>
          <w:p>
            <w:pPr>
              <w:pStyle w:val="88"/>
              <w:numPr>
                <w:ilvl w:val="0"/>
                <w:numId w:val="2"/>
              </w:numPr>
              <w:spacing w:after="0"/>
              <w:ind w:left="420" w:hanging="420"/>
              <w:rPr>
                <w:rFonts w:hint="eastAsia" w:eastAsia="宋体"/>
                <w:highlight w:val="none"/>
                <w:lang w:val="en-US" w:eastAsia="zh-CN"/>
              </w:rPr>
            </w:pPr>
            <w:r>
              <w:rPr>
                <w:rFonts w:hint="eastAsia" w:eastAsia="宋体"/>
                <w:highlight w:val="none"/>
                <w:lang w:val="en-US" w:eastAsia="zh-CN"/>
              </w:rPr>
              <w:t>The combined latency can further guarantee the transmission of intermediate entities involved in the data transmission process, preventing the scenario where each QoS flow involved meets its individual latency requirement, yet the overall combined latency requirement from application aspect among UEs is not met.</w:t>
            </w:r>
          </w:p>
          <w:p>
            <w:pPr>
              <w:pStyle w:val="88"/>
              <w:numPr>
                <w:ilvl w:val="0"/>
                <w:numId w:val="2"/>
              </w:numPr>
              <w:spacing w:after="0"/>
              <w:ind w:left="420" w:hanging="420"/>
              <w:rPr>
                <w:rFonts w:hint="eastAsia" w:eastAsia="宋体"/>
                <w:highlight w:val="none"/>
                <w:lang w:val="en-US" w:eastAsia="zh-CN"/>
              </w:rPr>
            </w:pPr>
            <w:r>
              <w:rPr>
                <w:rFonts w:hint="eastAsia" w:eastAsia="宋体"/>
                <w:highlight w:val="none"/>
                <w:lang w:val="en-US" w:eastAsia="zh-CN"/>
              </w:rPr>
              <w:t>The network can flexibly select the data transmission ways based on the combined latency requirement and the latency requirement information for each related QoS flows.</w:t>
            </w:r>
          </w:p>
          <w:p>
            <w:pPr>
              <w:pStyle w:val="88"/>
              <w:spacing w:after="0"/>
              <w:ind w:left="100"/>
              <w:rPr>
                <w:rFonts w:hint="eastAsia" w:eastAsia="宋体"/>
                <w:highlight w:val="none"/>
                <w:lang w:val="en-US" w:eastAsia="zh-CN"/>
              </w:rPr>
            </w:pPr>
            <w:r>
              <w:rPr>
                <w:rFonts w:hint="eastAsia" w:eastAsia="宋体"/>
                <w:highlight w:val="none"/>
                <w:lang w:val="en-US" w:eastAsia="zh-CN"/>
              </w:rPr>
              <w:t>Based on the above analysis, it is proposed to add the following requirement for the existing group communication.</w:t>
            </w:r>
          </w:p>
          <w:p>
            <w:pPr>
              <w:pStyle w:val="88"/>
              <w:numPr>
                <w:ilvl w:val="0"/>
                <w:numId w:val="2"/>
              </w:numPr>
              <w:spacing w:after="0"/>
              <w:ind w:left="420" w:hanging="420"/>
              <w:rPr>
                <w:rFonts w:hint="eastAsia" w:eastAsia="宋体"/>
                <w:highlight w:val="none"/>
                <w:lang w:val="en-US" w:eastAsia="zh-CN"/>
              </w:rPr>
            </w:pPr>
            <w:r>
              <w:rPr>
                <w:rFonts w:hint="eastAsia" w:eastAsia="宋体"/>
                <w:highlight w:val="none"/>
                <w:lang w:val="en-US" w:eastAsia="zh-CN"/>
              </w:rPr>
              <w:t xml:space="preserve">Add QoS policies requirement in section 6.7 Priority, QoS, and policy control. </w:t>
            </w:r>
          </w:p>
          <w:p>
            <w:pPr>
              <w:pStyle w:val="88"/>
              <w:numPr>
                <w:ilvl w:val="0"/>
                <w:numId w:val="2"/>
              </w:numPr>
              <w:spacing w:after="0"/>
              <w:ind w:left="420" w:hanging="420"/>
              <w:rPr>
                <w:rFonts w:hint="eastAsia" w:eastAsia="宋体"/>
                <w:highlight w:val="none"/>
                <w:lang w:val="en-US" w:eastAsia="zh-CN"/>
              </w:rPr>
            </w:pPr>
            <w:r>
              <w:rPr>
                <w:rFonts w:hint="eastAsia" w:eastAsia="宋体"/>
                <w:highlight w:val="none"/>
                <w:lang w:val="en-US" w:eastAsia="zh-CN"/>
              </w:rPr>
              <w:t>Update QoS monitoring for multiple flows among one or multiple UEs in section 6.23 QoS Monitoring</w:t>
            </w:r>
            <w:r>
              <w:rPr>
                <w:rFonts w:hint="default" w:eastAsia="宋体"/>
                <w:highlight w:val="none"/>
                <w:lang w:val="en-US" w:eastAsia="zh-CN"/>
              </w:rPr>
              <w:t>.</w:t>
            </w:r>
          </w:p>
          <w:p>
            <w:pPr>
              <w:pStyle w:val="88"/>
              <w:spacing w:after="0"/>
              <w:ind w:left="100"/>
              <w:rPr>
                <w:rFonts w:hint="default" w:eastAsia="Times New Roman"/>
                <w:highlight w:val="none"/>
                <w:lang w:val="en-US" w:eastAsia="zh-CN"/>
              </w:rPr>
            </w:pPr>
          </w:p>
          <w:p>
            <w:pPr>
              <w:pStyle w:val="88"/>
              <w:spacing w:after="0"/>
              <w:ind w:left="100"/>
              <w:rPr>
                <w:highlight w:val="magenta"/>
              </w:rPr>
            </w:pPr>
            <w:r>
              <w:rPr>
                <w:rFonts w:hint="default" w:eastAsia="Times New Roman"/>
                <w:highlight w:val="none"/>
                <w:lang w:val="en-US" w:eastAsia="zh-CN"/>
              </w:rPr>
              <w:t>In addition, above new requirements are also applied to non-public network.</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numPr>
                <w:ilvl w:val="0"/>
                <w:numId w:val="2"/>
              </w:numPr>
              <w:spacing w:after="0"/>
              <w:ind w:left="420" w:hanging="420"/>
              <w:rPr>
                <w:rFonts w:hint="eastAsia" w:eastAsia="宋体"/>
                <w:highlight w:val="none"/>
                <w:lang w:val="en-US" w:eastAsia="zh-CN"/>
              </w:rPr>
            </w:pPr>
            <w:r>
              <w:rPr>
                <w:rFonts w:hint="eastAsia" w:eastAsia="宋体"/>
                <w:highlight w:val="none"/>
                <w:lang w:val="en-US" w:eastAsia="zh-CN"/>
              </w:rPr>
              <w:t xml:space="preserve">Add </w:t>
            </w:r>
            <w:r>
              <w:rPr>
                <w:rFonts w:hint="eastAsia" w:eastAsia="宋体"/>
                <w:lang w:val="en-US" w:eastAsia="zh-CN"/>
              </w:rPr>
              <w:t xml:space="preserve">combined </w:t>
            </w:r>
            <w:r>
              <w:rPr>
                <w:rFonts w:hint="eastAsia" w:eastAsia="宋体"/>
                <w:highlight w:val="none"/>
                <w:lang w:val="en-US" w:eastAsia="zh-CN"/>
              </w:rPr>
              <w:t xml:space="preserve">QoS policies requirement in section 6.7 Priority, QoS, and policy control. </w:t>
            </w:r>
          </w:p>
          <w:p>
            <w:pPr>
              <w:pStyle w:val="88"/>
              <w:numPr>
                <w:ilvl w:val="0"/>
                <w:numId w:val="2"/>
              </w:numPr>
              <w:spacing w:after="0"/>
              <w:ind w:left="420" w:hanging="420"/>
              <w:rPr>
                <w:rFonts w:hint="eastAsia" w:eastAsia="宋体"/>
                <w:highlight w:val="none"/>
                <w:lang w:val="en-US" w:eastAsia="zh-CN"/>
              </w:rPr>
            </w:pPr>
            <w:r>
              <w:rPr>
                <w:rFonts w:hint="eastAsia" w:eastAsia="宋体"/>
                <w:highlight w:val="none"/>
                <w:lang w:val="en-US" w:eastAsia="zh-CN"/>
              </w:rPr>
              <w:t xml:space="preserve">Update QoS monitoring for </w:t>
            </w:r>
            <w:r>
              <w:rPr>
                <w:rFonts w:hint="eastAsia" w:eastAsia="宋体"/>
                <w:lang w:val="en-US" w:eastAsia="zh-CN"/>
              </w:rPr>
              <w:t>combined QoS</w:t>
            </w:r>
            <w:r>
              <w:rPr>
                <w:rFonts w:hint="default" w:eastAsia="宋体"/>
                <w:highlight w:val="none"/>
                <w:lang w:val="en-US" w:eastAsia="zh-CN"/>
              </w:rPr>
              <w:t xml:space="preserve"> configuration</w:t>
            </w:r>
            <w:r>
              <w:rPr>
                <w:rFonts w:hint="eastAsia" w:eastAsia="宋体"/>
                <w:highlight w:val="none"/>
                <w:lang w:val="en-US" w:eastAsia="zh-CN"/>
              </w:rPr>
              <w:t xml:space="preserve"> in section 6.23 QoS Monitoring</w:t>
            </w:r>
            <w:r>
              <w:rPr>
                <w:rFonts w:hint="default" w:eastAsia="宋体"/>
                <w:highlight w:val="none"/>
                <w:lang w:val="en-US" w:eastAsia="zh-CN"/>
              </w:rPr>
              <w:t>.</w:t>
            </w:r>
          </w:p>
          <w:p>
            <w:pPr>
              <w:pStyle w:val="88"/>
              <w:spacing w:after="0"/>
              <w:ind w:left="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highlight w:val="none"/>
              </w:rPr>
            </w:pPr>
            <w:r>
              <w:rPr>
                <w:b/>
                <w:i/>
                <w:highlight w:val="none"/>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rPr>
                <w:rFonts w:hint="default" w:eastAsia="宋体"/>
                <w:highlight w:val="none"/>
                <w:lang w:val="en-US" w:eastAsia="zh-CN"/>
              </w:rPr>
            </w:pPr>
            <w:r>
              <w:rPr>
                <w:rFonts w:hint="eastAsia" w:eastAsia="宋体"/>
                <w:highlight w:val="none"/>
                <w:lang w:val="en-US" w:eastAsia="zh-CN"/>
              </w:rPr>
              <w:t xml:space="preserve">The combined QoS configuration and monitoring function can not be captured in current spec. </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highlight w:val="none"/>
              </w:rPr>
            </w:pPr>
            <w:r>
              <w:rPr>
                <w:b/>
                <w:i/>
                <w:highlight w:val="none"/>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hint="default" w:eastAsia="宋体"/>
                <w:highlight w:val="none"/>
                <w:lang w:val="en-US" w:eastAsia="zh-CN"/>
              </w:rPr>
            </w:pPr>
            <w:r>
              <w:rPr>
                <w:rFonts w:hint="eastAsia" w:eastAsia="宋体"/>
                <w:highlight w:val="none"/>
                <w:lang w:val="en-US" w:eastAsia="zh-CN"/>
              </w:rPr>
              <w:t>6.7.2, 6.23.2</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134" w:header="680" w:footer="567" w:gutter="0"/>
          <w:cols w:space="720" w:num="1"/>
          <w:formProt w:val="0"/>
          <w:docGrid w:linePitch="100" w:charSpace="8192"/>
        </w:sectPr>
      </w:pPr>
    </w:p>
    <w:p/>
    <w:p>
      <w:pPr>
        <w:keepNext/>
        <w:keepLines/>
        <w:spacing w:before="180"/>
        <w:ind w:left="1134" w:hanging="1134"/>
        <w:outlineLvl w:val="1"/>
        <w:rPr>
          <w:rFonts w:ascii="Arial" w:hAnsi="Arial"/>
          <w:sz w:val="32"/>
        </w:rPr>
      </w:pPr>
      <w:bookmarkStart w:id="0" w:name="OLE_LINK1"/>
      <w:r>
        <w:rPr>
          <w:rFonts w:ascii="Arial" w:hAnsi="Arial"/>
          <w:sz w:val="32"/>
        </w:rPr>
        <w:t>*****************   First Change ***********************</w:t>
      </w:r>
    </w:p>
    <w:bookmarkEnd w:id="0"/>
    <w:p>
      <w:pPr>
        <w:pStyle w:val="3"/>
        <w:outlineLvl w:val="0"/>
      </w:pPr>
      <w:bookmarkStart w:id="1" w:name="_Toc61885610"/>
      <w:bookmarkStart w:id="2" w:name="_Toc163133133"/>
      <w:bookmarkStart w:id="3" w:name="_Toc45387661"/>
      <w:bookmarkStart w:id="4" w:name="_Toc59116791"/>
      <w:bookmarkStart w:id="5" w:name="_Toc52638706"/>
      <w:r>
        <w:t>6.7</w:t>
      </w:r>
      <w:r>
        <w:tab/>
      </w:r>
      <w:r>
        <w:tab/>
      </w:r>
      <w:r>
        <w:t>Priority, QoS, and policy control</w:t>
      </w:r>
      <w:bookmarkEnd w:id="1"/>
      <w:bookmarkEnd w:id="2"/>
      <w:bookmarkEnd w:id="3"/>
      <w:bookmarkEnd w:id="4"/>
      <w:bookmarkEnd w:id="5"/>
    </w:p>
    <w:p>
      <w:pPr>
        <w:jc w:val="center"/>
        <w:rPr>
          <w:rFonts w:hint="default"/>
          <w:color w:val="FF0000"/>
          <w:lang w:val="en-US"/>
        </w:rPr>
      </w:pPr>
      <w:r>
        <w:rPr>
          <w:rFonts w:hint="default"/>
          <w:color w:val="FF0000"/>
          <w:lang w:val="en-US"/>
        </w:rPr>
        <w:t>&lt;&lt;&lt;&lt;skip unrelated content&gt;&gt;&gt;&gt;</w:t>
      </w:r>
    </w:p>
    <w:p>
      <w:pPr>
        <w:pStyle w:val="4"/>
      </w:pPr>
      <w:bookmarkStart w:id="6" w:name="_Toc61885612"/>
      <w:bookmarkStart w:id="7" w:name="_Toc45387663"/>
      <w:bookmarkStart w:id="8" w:name="_Toc163133135"/>
      <w:bookmarkStart w:id="9" w:name="_Toc52638708"/>
      <w:bookmarkStart w:id="10" w:name="_Toc59116793"/>
      <w:r>
        <w:t>6.7.2</w:t>
      </w:r>
      <w:r>
        <w:tab/>
      </w:r>
      <w:r>
        <w:tab/>
      </w:r>
      <w:r>
        <w:t>Requirements</w:t>
      </w:r>
      <w:bookmarkEnd w:id="6"/>
      <w:bookmarkEnd w:id="7"/>
      <w:bookmarkEnd w:id="8"/>
      <w:bookmarkEnd w:id="9"/>
      <w:bookmarkEnd w:id="10"/>
    </w:p>
    <w:p>
      <w:pPr>
        <w:rPr>
          <w:lang w:eastAsia="zh-CN"/>
        </w:rPr>
      </w:pPr>
      <w:r>
        <w:rPr>
          <w:lang w:eastAsia="zh-CN"/>
        </w:rPr>
        <w:t xml:space="preserve">The 5G system shall allow flexible </w:t>
      </w:r>
      <w:r>
        <w:t xml:space="preserve">mechanisms to establish </w:t>
      </w:r>
      <w:r>
        <w:rPr>
          <w:lang w:eastAsia="zh-CN"/>
        </w:rPr>
        <w:t xml:space="preserve">and enforce priority policies among the different services </w:t>
      </w:r>
      <w:r>
        <w:t>(e.g. MPS, Emergency, medical, Public Safety) and users.</w:t>
      </w:r>
    </w:p>
    <w:p>
      <w:pPr>
        <w:pStyle w:val="51"/>
      </w:pPr>
      <w:r>
        <w:t>NOTE 1:</w:t>
      </w:r>
      <w:r>
        <w:tab/>
      </w:r>
      <w:r>
        <w:t>Priority between different services is subject to regional or national regulatory and operator policies.</w:t>
      </w:r>
    </w:p>
    <w:p>
      <w:pPr>
        <w:rPr>
          <w:lang w:eastAsia="zh-CN"/>
        </w:rPr>
      </w:pPr>
      <w:r>
        <w:t>T</w:t>
      </w:r>
      <w:r>
        <w:rPr>
          <w:lang w:eastAsia="zh-CN"/>
        </w:rPr>
        <w:t>he 5G system shall be able to provide the required QoS (e.g. reliability, end-to-end latency, and bandwidth) for a service and support prioritization of resources when necessary for that service.</w:t>
      </w:r>
    </w:p>
    <w:p>
      <w:pPr>
        <w:rPr>
          <w:lang w:eastAsia="zh-CN"/>
        </w:rPr>
      </w:pPr>
      <w:r>
        <w:rPr>
          <w:lang w:eastAsia="zh-CN"/>
        </w:rPr>
        <w:t>The 5G system shall enable the network operator to define and statically configure a maximum resource assignment for a specific service that can be adjusted based on the network state (e.g. during congestion, disaster, emergency and DDoS events) subject to regional or national regulatory and operator policies.</w:t>
      </w:r>
    </w:p>
    <w:p>
      <w:pPr>
        <w:rPr>
          <w:lang w:eastAsia="zh-CN"/>
        </w:rPr>
      </w:pPr>
      <w:r>
        <w:rPr>
          <w:lang w:eastAsia="zh-CN"/>
        </w:rPr>
        <w:t>The 5G system shall allow decoupling of the priority of a particular communication from the associated QoS characteristics such as end-to-end latency and reliability.</w:t>
      </w:r>
    </w:p>
    <w:p>
      <w:pPr>
        <w:rPr>
          <w:lang w:eastAsia="zh-CN"/>
        </w:rPr>
      </w:pPr>
      <w:r>
        <w:t xml:space="preserve">The </w:t>
      </w:r>
      <w:r>
        <w:rPr>
          <w:lang w:eastAsia="zh-CN"/>
        </w:rPr>
        <w:t>5G</w:t>
      </w:r>
      <w:r>
        <w:t xml:space="preserve"> system shall</w:t>
      </w:r>
      <w:r>
        <w:rPr>
          <w:lang w:eastAsia="zh-CN"/>
        </w:rPr>
        <w:t xml:space="preserve"> be able to support a harmonised QoS and policy framework applicable to multiple accesses.</w:t>
      </w:r>
    </w:p>
    <w:p>
      <w:pPr>
        <w:rPr>
          <w:lang w:eastAsia="zh-CN"/>
        </w:rPr>
      </w:pPr>
      <w:r>
        <w:t xml:space="preserve">The </w:t>
      </w:r>
      <w:r>
        <w:rPr>
          <w:lang w:eastAsia="zh-CN"/>
        </w:rPr>
        <w:t>5G</w:t>
      </w:r>
      <w:r>
        <w:t xml:space="preserve"> system shall be able to support E2E (e.g. UE to UE) QoS for a service</w:t>
      </w:r>
      <w:r>
        <w:rPr>
          <w:lang w:eastAsia="zh-CN"/>
        </w:rPr>
        <w:t>.</w:t>
      </w:r>
    </w:p>
    <w:p>
      <w:pPr>
        <w:pStyle w:val="51"/>
        <w:rPr>
          <w:lang w:eastAsia="zh-CN"/>
        </w:rPr>
      </w:pPr>
      <w:r>
        <w:rPr>
          <w:lang w:eastAsia="zh-CN"/>
        </w:rPr>
        <w:t>NOTE 2:</w:t>
      </w:r>
      <w:r>
        <w:rPr>
          <w:lang w:eastAsia="zh-CN"/>
        </w:rPr>
        <w:tab/>
      </w:r>
      <w:r>
        <w:rPr>
          <w:lang w:eastAsia="zh-CN"/>
        </w:rPr>
        <w:t>E2E QoS needs to consider QoS in the access networks, backhaul, core network, and network to network interconnect.</w:t>
      </w:r>
    </w:p>
    <w:p>
      <w:pPr>
        <w:rPr>
          <w:lang w:eastAsia="zh-CN"/>
        </w:rPr>
      </w:pPr>
      <w:r>
        <w:rPr>
          <w:lang w:eastAsia="zh-CN"/>
        </w:rPr>
        <w:t xml:space="preserve">The 5G </w:t>
      </w:r>
      <w:r>
        <w:t>system</w:t>
      </w:r>
      <w:r>
        <w:rPr>
          <w:lang w:eastAsia="zh-CN"/>
        </w:rPr>
        <w:t xml:space="preserve"> shall be able to support QoS for applications in a Service Hosting Environment.</w:t>
      </w:r>
    </w:p>
    <w:p>
      <w:r>
        <w:t xml:space="preserve">A 5G system with multiple access technologies shall be able to select the combination of access technologies to serve an UE on the basis of the targeted priority, pre-emption, QoS parameters and access technology availability. </w:t>
      </w:r>
    </w:p>
    <w:p>
      <w:pPr>
        <w:rPr>
          <w:lang w:eastAsia="zh-CN"/>
        </w:rPr>
      </w:pPr>
      <w:r>
        <w:t xml:space="preserve">The 5G system shall support a mechanism to </w:t>
      </w:r>
      <w:r>
        <w:rPr>
          <w:rFonts w:hint="eastAsia"/>
          <w:lang w:eastAsia="zh-CN"/>
        </w:rPr>
        <w:t>determine</w:t>
      </w:r>
      <w:r>
        <w:t xml:space="preserve"> suitable QoS parameters for traffic over a satellite backhaul, based e.g. on the latency</w:t>
      </w:r>
      <w:r>
        <w:rPr>
          <w:rFonts w:hint="eastAsia"/>
        </w:rPr>
        <w:t xml:space="preserve"> </w:t>
      </w:r>
      <w:r>
        <w:t>and bandwi</w:t>
      </w:r>
      <w:r>
        <w:rPr>
          <w:rFonts w:hint="eastAsia"/>
        </w:rPr>
        <w:t>d</w:t>
      </w:r>
      <w:r>
        <w:t xml:space="preserve">th of the specific backhaul . </w:t>
      </w:r>
    </w:p>
    <w:p>
      <w:pPr>
        <w:pStyle w:val="51"/>
        <w:rPr>
          <w:lang w:eastAsia="zh-CN"/>
        </w:rPr>
      </w:pPr>
      <w:r>
        <w:rPr>
          <w:lang w:eastAsia="zh-CN"/>
        </w:rPr>
        <w:t>NOTE 3: The case where a backhaul connection has dynamically changed latency and/or bandwidth needs to be considered.</w:t>
      </w:r>
    </w:p>
    <w:p>
      <w:pPr>
        <w:numPr>
          <w:ilvl w:val="-1"/>
          <w:numId w:val="0"/>
        </w:numPr>
        <w:rPr>
          <w:ins w:id="0" w:author="ZTE" w:date="2024-07-30T11:03:35Z"/>
          <w:lang w:val="en-US" w:eastAsia="ja-JP"/>
        </w:rPr>
      </w:pPr>
      <w:ins w:id="1" w:author="ZTE" w:date="2024-07-30T11:03:35Z">
        <w:r>
          <w:rPr>
            <w:rFonts w:hint="default"/>
            <w:lang w:val="en-US" w:eastAsia="ja-JP"/>
          </w:rPr>
          <w:t xml:space="preserve">The 5G system shall enable an authorized 3rd party to provide the required QoS for </w:t>
        </w:r>
      </w:ins>
      <w:ins w:id="2" w:author="ZTE" w:date="2024-07-30T11:03:35Z">
        <w:r>
          <w:rPr>
            <w:lang w:val="en-US" w:eastAsia="ja-JP"/>
          </w:rPr>
          <w:t>an application</w:t>
        </w:r>
      </w:ins>
      <w:ins w:id="3" w:author="ZTE" w:date="2024-07-30T11:03:35Z">
        <w:r>
          <w:rPr>
            <w:rFonts w:hint="default"/>
            <w:lang w:val="en-US" w:eastAsia="ja-JP"/>
          </w:rPr>
          <w:t xml:space="preserve"> and </w:t>
        </w:r>
      </w:ins>
      <w:ins w:id="4" w:author="ZTE" w:date="2024-07-30T11:03:35Z">
        <w:r>
          <w:rPr>
            <w:lang w:val="en-US" w:eastAsia="ja-JP"/>
          </w:rPr>
          <w:t xml:space="preserve">related </w:t>
        </w:r>
      </w:ins>
      <w:ins w:id="5" w:author="ZTE" w:date="2024-07-30T11:03:35Z">
        <w:r>
          <w:rPr>
            <w:rFonts w:hint="default"/>
            <w:lang w:val="en-US" w:eastAsia="ja-JP"/>
          </w:rPr>
          <w:t xml:space="preserve">QoS for multiple QoS flows associated with the </w:t>
        </w:r>
      </w:ins>
      <w:ins w:id="6" w:author="ZTE" w:date="2024-07-30T11:03:35Z">
        <w:r>
          <w:rPr>
            <w:lang w:val="en-US" w:eastAsia="ja-JP"/>
          </w:rPr>
          <w:t>application</w:t>
        </w:r>
      </w:ins>
      <w:ins w:id="7" w:author="ZTE" w:date="2024-07-30T11:03:35Z">
        <w:r>
          <w:rPr>
            <w:rFonts w:hint="default"/>
            <w:lang w:val="en-US" w:eastAsia="ja-JP"/>
          </w:rPr>
          <w:t>.</w:t>
        </w:r>
      </w:ins>
    </w:p>
    <w:p>
      <w:pPr>
        <w:numPr>
          <w:ilvl w:val="-1"/>
          <w:numId w:val="0"/>
        </w:numPr>
        <w:rPr>
          <w:ins w:id="8" w:author="ZTE" w:date="2024-07-30T11:03:35Z"/>
          <w:lang w:val="en-US" w:eastAsia="ja-JP"/>
        </w:rPr>
      </w:pPr>
      <w:ins w:id="9" w:author="ZTE" w:date="2024-07-30T11:03:35Z">
        <w:r>
          <w:rPr>
            <w:rFonts w:hint="default"/>
            <w:lang w:val="en-US" w:eastAsia="ja-JP"/>
          </w:rPr>
          <w:t xml:space="preserve">The 5G system shall </w:t>
        </w:r>
      </w:ins>
      <w:ins w:id="10" w:author="ZTE" w:date="2024-07-30T11:03:35Z">
        <w:r>
          <w:rPr>
            <w:lang w:val="en-US" w:eastAsia="ja-JP"/>
          </w:rPr>
          <w:t xml:space="preserve">be able to </w:t>
        </w:r>
      </w:ins>
      <w:ins w:id="11" w:author="ZTE" w:date="2024-07-30T11:03:35Z">
        <w:r>
          <w:rPr>
            <w:rFonts w:hint="default"/>
            <w:lang w:val="en-US" w:eastAsia="ja-JP"/>
          </w:rPr>
          <w:t xml:space="preserve">support </w:t>
        </w:r>
      </w:ins>
      <w:ins w:id="12" w:author="ZTE" w:date="2024-07-30T11:03:35Z">
        <w:r>
          <w:rPr>
            <w:lang w:val="en-US" w:eastAsia="ja-JP"/>
          </w:rPr>
          <w:t xml:space="preserve">the </w:t>
        </w:r>
      </w:ins>
      <w:ins w:id="13" w:author="ZTE" w:date="2024-07-30T11:03:35Z">
        <w:r>
          <w:rPr>
            <w:rFonts w:hint="default"/>
            <w:lang w:val="en-US" w:eastAsia="ja-JP"/>
          </w:rPr>
          <w:t>QoS policy for a</w:t>
        </w:r>
      </w:ins>
      <w:ins w:id="14" w:author="ZTE" w:date="2024-07-30T11:03:35Z">
        <w:r>
          <w:rPr>
            <w:lang w:val="en-US" w:eastAsia="ja-JP"/>
          </w:rPr>
          <w:t>n application together with</w:t>
        </w:r>
      </w:ins>
      <w:ins w:id="15" w:author="ZTE" w:date="2024-07-30T11:03:35Z">
        <w:r>
          <w:rPr>
            <w:rFonts w:hint="default"/>
            <w:lang w:val="en-US" w:eastAsia="ja-JP"/>
          </w:rPr>
          <w:t xml:space="preserve"> QoS policies for multiple QoS flows associated with the </w:t>
        </w:r>
      </w:ins>
      <w:ins w:id="16" w:author="ZTE" w:date="2024-07-30T11:03:35Z">
        <w:r>
          <w:rPr>
            <w:lang w:val="en-US" w:eastAsia="ja-JP"/>
          </w:rPr>
          <w:t>application</w:t>
        </w:r>
      </w:ins>
      <w:ins w:id="17" w:author="ZTE" w:date="2024-07-30T11:03:35Z">
        <w:r>
          <w:rPr>
            <w:rFonts w:hint="default"/>
            <w:lang w:val="en-US" w:eastAsia="ja-JP"/>
          </w:rPr>
          <w:t>.</w:t>
        </w:r>
      </w:ins>
    </w:p>
    <w:p>
      <w:pPr>
        <w:keepNext/>
        <w:keepLines/>
        <w:spacing w:before="180"/>
        <w:ind w:left="1134" w:hanging="1134"/>
        <w:outlineLvl w:val="1"/>
        <w:rPr>
          <w:lang w:eastAsia="ko-KR"/>
        </w:rPr>
      </w:pPr>
      <w:r>
        <w:rPr>
          <w:rFonts w:ascii="Arial" w:hAnsi="Arial"/>
          <w:sz w:val="32"/>
        </w:rPr>
        <w:t xml:space="preserve">*****************   </w:t>
      </w:r>
      <w:r>
        <w:rPr>
          <w:rFonts w:hint="eastAsia" w:ascii="Arial" w:hAnsi="Arial" w:eastAsia="宋体"/>
          <w:sz w:val="32"/>
          <w:lang w:val="en-US" w:eastAsia="zh-CN"/>
        </w:rPr>
        <w:t xml:space="preserve">Next </w:t>
      </w:r>
      <w:r>
        <w:rPr>
          <w:rFonts w:ascii="Arial" w:hAnsi="Arial"/>
          <w:sz w:val="32"/>
        </w:rPr>
        <w:t>Change ***********************</w:t>
      </w:r>
    </w:p>
    <w:p>
      <w:pPr>
        <w:pStyle w:val="3"/>
        <w:rPr>
          <w:lang w:eastAsia="ja-JP"/>
        </w:rPr>
      </w:pPr>
      <w:bookmarkStart w:id="11" w:name="_Toc45387715"/>
      <w:bookmarkStart w:id="12" w:name="_Toc61885664"/>
      <w:bookmarkStart w:id="13" w:name="_Toc52638760"/>
      <w:bookmarkStart w:id="14" w:name="_Toc59116845"/>
      <w:bookmarkStart w:id="15" w:name="_Toc163133207"/>
      <w:r>
        <w:rPr>
          <w:lang w:eastAsia="ja-JP"/>
        </w:rPr>
        <w:t>6.23</w:t>
      </w:r>
      <w:r>
        <w:rPr>
          <w:lang w:eastAsia="ja-JP"/>
        </w:rPr>
        <w:tab/>
      </w:r>
      <w:r>
        <w:rPr>
          <w:lang w:eastAsia="ja-JP"/>
        </w:rPr>
        <w:t>QoS monitoring</w:t>
      </w:r>
      <w:bookmarkEnd w:id="11"/>
      <w:bookmarkEnd w:id="12"/>
      <w:bookmarkEnd w:id="13"/>
      <w:bookmarkEnd w:id="14"/>
      <w:bookmarkEnd w:id="15"/>
      <w:r>
        <w:rPr>
          <w:lang w:eastAsia="ja-JP"/>
        </w:rPr>
        <w:t xml:space="preserve"> </w:t>
      </w:r>
    </w:p>
    <w:p>
      <w:pPr>
        <w:jc w:val="center"/>
        <w:rPr>
          <w:lang w:eastAsia="ja-JP"/>
        </w:rPr>
      </w:pPr>
      <w:r>
        <w:rPr>
          <w:rFonts w:hint="default"/>
          <w:color w:val="FF0000"/>
          <w:lang w:val="en-US"/>
        </w:rPr>
        <w:t>&lt;&lt;&lt;&lt;skip unrelated content&gt;&gt;&gt;&gt;</w:t>
      </w:r>
    </w:p>
    <w:p>
      <w:pPr>
        <w:pStyle w:val="4"/>
        <w:rPr>
          <w:lang w:eastAsia="ja-JP"/>
        </w:rPr>
      </w:pPr>
      <w:bookmarkStart w:id="16" w:name="_Toc61885666"/>
      <w:bookmarkStart w:id="17" w:name="_Toc163133209"/>
      <w:bookmarkStart w:id="18" w:name="_Toc59116847"/>
      <w:bookmarkStart w:id="19" w:name="_Toc52638762"/>
      <w:bookmarkStart w:id="20" w:name="_Toc45387717"/>
      <w:r>
        <w:rPr>
          <w:lang w:eastAsia="ja-JP"/>
        </w:rPr>
        <w:t>6.23.2</w:t>
      </w:r>
      <w:r>
        <w:rPr>
          <w:lang w:eastAsia="ja-JP"/>
        </w:rPr>
        <w:tab/>
      </w:r>
      <w:r>
        <w:rPr>
          <w:lang w:eastAsia="ja-JP"/>
        </w:rPr>
        <w:t>Requirements</w:t>
      </w:r>
      <w:bookmarkEnd w:id="16"/>
      <w:bookmarkEnd w:id="17"/>
      <w:bookmarkEnd w:id="18"/>
      <w:bookmarkEnd w:id="19"/>
      <w:bookmarkEnd w:id="20"/>
    </w:p>
    <w:p>
      <w:pPr>
        <w:rPr>
          <w:lang w:eastAsia="ja-JP"/>
        </w:rPr>
      </w:pPr>
      <w:r>
        <w:rPr>
          <w:lang w:eastAsia="ja-JP"/>
        </w:rPr>
        <w:t>The 5G system shall provide a mechanism for supporting real-time E2E QoS monitoring within a system.</w:t>
      </w:r>
    </w:p>
    <w:p>
      <w:pPr>
        <w:pStyle w:val="51"/>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pPr>
        <w:rPr>
          <w:lang w:eastAsia="ja-JP"/>
        </w:rPr>
      </w:pPr>
      <w:bookmarkStart w:id="21" w:name="_Hlk81208837"/>
      <w:r>
        <w:rPr>
          <w:lang w:eastAsia="ja-JP"/>
        </w:rPr>
        <w:t>The 5G system shall support combined QoS monitoring for a group of UEs.</w:t>
      </w:r>
    </w:p>
    <w:p>
      <w:pPr>
        <w:pStyle w:val="51"/>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21"/>
    <w:p>
      <w:pPr>
        <w:rPr>
          <w:lang w:eastAsia="ja-JP"/>
        </w:rPr>
      </w:pPr>
      <w:r>
        <w:rPr>
          <w:lang w:eastAsia="ja-JP"/>
        </w:rPr>
        <w:t>The 5G network shall provide an interface to an application for QoS monitoring (e.g. to initiate QoS monitoring, request QoS parameters, events, logging information).</w:t>
      </w:r>
    </w:p>
    <w:p>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pPr>
        <w:pStyle w:val="51"/>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pPr>
        <w:keepLines/>
        <w:rPr>
          <w:lang w:eastAsia="ja-JP"/>
        </w:rPr>
      </w:pPr>
      <w:r>
        <w:rPr>
          <w:lang w:eastAsia="ja-JP"/>
        </w:rPr>
        <w:t xml:space="preserve">The 5G system shall be able to log the history of the communication events. </w:t>
      </w:r>
    </w:p>
    <w:p>
      <w:pPr>
        <w:pStyle w:val="51"/>
        <w:rPr>
          <w:lang w:val="en-US"/>
        </w:rPr>
      </w:pPr>
      <w:r>
        <w:rPr>
          <w:lang w:eastAsia="ja-JP"/>
        </w:rPr>
        <w:t>NOTE 3:</w:t>
      </w:r>
      <w:r>
        <w:rPr>
          <w:lang w:eastAsia="ja-JP"/>
        </w:rPr>
        <w:tab/>
      </w:r>
      <w:r>
        <w:rPr>
          <w:lang w:eastAsia="ja-JP"/>
        </w:rPr>
        <w:t>The communication history may include time</w:t>
      </w:r>
      <w:r>
        <w:rPr>
          <w:lang w:val="en-US"/>
        </w:rPr>
        <w:t>stamps of communication events and position-related information. Examples of such information are the positions of UEs and of radio base stations associated with communication events. Communication events include instances when the required QoS is not met.</w:t>
      </w:r>
    </w:p>
    <w:p>
      <w:pPr>
        <w:rPr>
          <w:ins w:id="18" w:author="ZTE" w:date="2024-07-26T14:10:38Z"/>
          <w:lang w:eastAsia="ja-JP"/>
        </w:rPr>
      </w:pPr>
      <w:r>
        <w:rPr>
          <w:lang w:eastAsia="ja-JP"/>
        </w:rPr>
        <w:t>The 5G system shall support different levels of granularity for QoS monitoring (e.g. per flow or set of flows).</w:t>
      </w:r>
    </w:p>
    <w:p>
      <w:pPr>
        <w:numPr>
          <w:ilvl w:val="-1"/>
          <w:numId w:val="0"/>
        </w:numPr>
        <w:rPr>
          <w:ins w:id="19" w:author="ZTE" w:date="2024-07-30T11:03:27Z"/>
          <w:lang w:val="en-US" w:eastAsia="ja-JP"/>
        </w:rPr>
      </w:pPr>
      <w:ins w:id="20" w:author="ZTE" w:date="2024-07-30T11:03:27Z">
        <w:r>
          <w:rPr>
            <w:rFonts w:hint="default"/>
            <w:lang w:val="en-US" w:eastAsia="ja-JP"/>
          </w:rPr>
          <w:t xml:space="preserve">Subject to operator policy and regulatory mandates, the 5G system shall be able to support the combined QoS monitoring for </w:t>
        </w:r>
      </w:ins>
      <w:ins w:id="21" w:author="ZTE" w:date="2024-07-30T11:03:27Z">
        <w:r>
          <w:rPr>
            <w:lang w:val="en-US" w:eastAsia="ja-JP"/>
          </w:rPr>
          <w:t>one application</w:t>
        </w:r>
      </w:ins>
      <w:ins w:id="22" w:author="ZTE" w:date="2024-07-30T11:03:27Z">
        <w:r>
          <w:rPr>
            <w:rFonts w:hint="default"/>
            <w:lang w:val="en-US" w:eastAsia="ja-JP"/>
          </w:rPr>
          <w:t xml:space="preserve"> together with the QoS monitoring for multiple QoS flows associated with this </w:t>
        </w:r>
      </w:ins>
      <w:ins w:id="23" w:author="ZTE" w:date="2024-07-30T11:03:27Z">
        <w:r>
          <w:rPr>
            <w:lang w:val="en-US" w:eastAsia="ja-JP"/>
          </w:rPr>
          <w:t>application.</w:t>
        </w:r>
      </w:ins>
    </w:p>
    <w:p>
      <w:pPr>
        <w:numPr>
          <w:ilvl w:val="-1"/>
          <w:numId w:val="0"/>
        </w:numPr>
        <w:rPr>
          <w:ins w:id="24" w:author="ZTE" w:date="2024-07-30T11:03:27Z"/>
          <w:lang w:val="en-US" w:eastAsia="ja-JP"/>
        </w:rPr>
      </w:pPr>
      <w:ins w:id="25" w:author="ZTE" w:date="2024-07-30T11:03:27Z">
        <w:r>
          <w:rPr>
            <w:rFonts w:hint="default"/>
            <w:lang w:val="en-US" w:eastAsia="ja-JP"/>
          </w:rPr>
          <w:t>Subject to operator’s policy,</w:t>
        </w:r>
      </w:ins>
      <w:ins w:id="26" w:author="ZTE" w:date="2024-07-30T11:03:27Z">
        <w:r>
          <w:rPr>
            <w:lang w:val="en-US" w:eastAsia="ja-JP"/>
          </w:rPr>
          <w:t xml:space="preserve"> </w:t>
        </w:r>
      </w:ins>
      <w:ins w:id="27" w:author="ZTE" w:date="2024-07-30T11:03:27Z">
        <w:r>
          <w:rPr>
            <w:rFonts w:hint="default"/>
            <w:lang w:val="en-US" w:eastAsia="ja-JP"/>
          </w:rPr>
          <w:t xml:space="preserve">agreement with 3rd party and consent by the customer, the 5G system shall be able to expose the </w:t>
        </w:r>
      </w:ins>
      <w:ins w:id="28" w:author="ZTE" w:date="2024-07-30T11:03:27Z">
        <w:r>
          <w:rPr>
            <w:rFonts w:eastAsia="Times New Roman"/>
            <w:lang w:val="en-US" w:eastAsia="ja-JP"/>
          </w:rPr>
          <w:t>combined QoS monitoring for the application together with the QoS monitoring for multiple QoS flows associated with this application.</w:t>
        </w:r>
      </w:ins>
    </w:p>
    <w:p>
      <w:pPr>
        <w:rPr>
          <w:lang w:eastAsia="ja-JP"/>
        </w:rPr>
      </w:pPr>
      <w:r>
        <w:rPr>
          <w:lang w:eastAsia="ja-JP"/>
        </w:rPr>
        <w:t>The 5G system shall be able to provide event notification upon detecting an error that the negotiated QoS level cannot be met/guaranteed.</w:t>
      </w:r>
    </w:p>
    <w:p>
      <w:pPr>
        <w:rPr>
          <w:lang w:eastAsia="ja-JP"/>
        </w:rPr>
      </w:pPr>
      <w:r>
        <w:rPr>
          <w:lang w:eastAsia="ja-JP"/>
        </w:rPr>
        <w:t>The 5G system shall be able to provide information that identifies the type and the location of a communication error (e.g. cell ID).</w:t>
      </w:r>
    </w:p>
    <w:p>
      <w:pPr>
        <w:rPr>
          <w:lang w:eastAsia="ja-JP"/>
        </w:rPr>
      </w:pPr>
      <w:r>
        <w:rPr>
          <w:lang w:eastAsia="ja-JP"/>
        </w:rPr>
        <w:t xml:space="preserve">The 5G system shall be able to provide notification of communication events to </w:t>
      </w:r>
      <w:r>
        <w:t>authorized</w:t>
      </w:r>
      <w:r>
        <w:rPr>
          <w:lang w:eastAsia="ja-JP"/>
        </w:rPr>
        <w:t xml:space="preserve"> entities per pre-defined patterns. </w:t>
      </w:r>
    </w:p>
    <w:p>
      <w:pPr>
        <w:keepNext/>
        <w:keepLines/>
        <w:spacing w:before="180"/>
        <w:ind w:left="1134" w:hanging="1134"/>
        <w:outlineLvl w:val="1"/>
        <w:rPr>
          <w:rFonts w:ascii="Arial" w:hAnsi="Arial"/>
          <w:sz w:val="32"/>
        </w:rPr>
      </w:pPr>
      <w:r>
        <w:rPr>
          <w:rFonts w:ascii="Arial" w:hAnsi="Arial"/>
          <w:sz w:val="32"/>
        </w:rPr>
        <w:t>*****************   End of Changes ***********************</w:t>
      </w:r>
    </w:p>
    <w:p/>
    <w:sectPr>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02B807"/>
    <w:multiLevelType w:val="singleLevel"/>
    <w:tmpl w:val="2402B807"/>
    <w:lvl w:ilvl="0" w:tentative="0">
      <w:start w:val="1"/>
      <w:numFmt w:val="bullet"/>
      <w:lvlText w:val=""/>
      <w:lvlJc w:val="left"/>
      <w:pPr>
        <w:ind w:left="420" w:hanging="420"/>
      </w:pPr>
      <w:rPr>
        <w:rFonts w:hint="default" w:ascii="Wingdings" w:hAnsi="Wingdings"/>
      </w:rPr>
    </w:lvl>
  </w:abstractNum>
  <w:abstractNum w:abstractNumId="1">
    <w:nsid w:val="65B50FFF"/>
    <w:multiLevelType w:val="singleLevel"/>
    <w:tmpl w:val="65B50FF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159B"/>
    <w:rsid w:val="0000401E"/>
    <w:rsid w:val="00004136"/>
    <w:rsid w:val="00012D56"/>
    <w:rsid w:val="00013801"/>
    <w:rsid w:val="000146AD"/>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 w:val="02373D22"/>
    <w:rsid w:val="027D311F"/>
    <w:rsid w:val="02E57669"/>
    <w:rsid w:val="03FA3F1C"/>
    <w:rsid w:val="053D7963"/>
    <w:rsid w:val="05604BE0"/>
    <w:rsid w:val="056254AB"/>
    <w:rsid w:val="05B14173"/>
    <w:rsid w:val="05E64D45"/>
    <w:rsid w:val="063246AA"/>
    <w:rsid w:val="07777AD3"/>
    <w:rsid w:val="07CD2274"/>
    <w:rsid w:val="07D72F72"/>
    <w:rsid w:val="08493CD2"/>
    <w:rsid w:val="09A460C4"/>
    <w:rsid w:val="09E3129B"/>
    <w:rsid w:val="0A2300EA"/>
    <w:rsid w:val="0B2F68CE"/>
    <w:rsid w:val="0B3B0E67"/>
    <w:rsid w:val="0DAE4EF4"/>
    <w:rsid w:val="0E90200E"/>
    <w:rsid w:val="0EF5604F"/>
    <w:rsid w:val="100F0A2C"/>
    <w:rsid w:val="110A7480"/>
    <w:rsid w:val="11BB7A0B"/>
    <w:rsid w:val="11D35B20"/>
    <w:rsid w:val="1269029E"/>
    <w:rsid w:val="13AC2F55"/>
    <w:rsid w:val="13F42308"/>
    <w:rsid w:val="13F62292"/>
    <w:rsid w:val="14AE1066"/>
    <w:rsid w:val="152D07A7"/>
    <w:rsid w:val="171B0BE7"/>
    <w:rsid w:val="19DF4C64"/>
    <w:rsid w:val="1B0B7285"/>
    <w:rsid w:val="1B70791C"/>
    <w:rsid w:val="1C4C5889"/>
    <w:rsid w:val="1CE70A92"/>
    <w:rsid w:val="1DE25C62"/>
    <w:rsid w:val="1E5D34B0"/>
    <w:rsid w:val="215D3EAD"/>
    <w:rsid w:val="21914E94"/>
    <w:rsid w:val="227F43FF"/>
    <w:rsid w:val="22851D1A"/>
    <w:rsid w:val="239E09FA"/>
    <w:rsid w:val="23DF4741"/>
    <w:rsid w:val="23FF7556"/>
    <w:rsid w:val="24106DDB"/>
    <w:rsid w:val="241268D3"/>
    <w:rsid w:val="24A2481B"/>
    <w:rsid w:val="24D92F83"/>
    <w:rsid w:val="24FE6319"/>
    <w:rsid w:val="25A907AA"/>
    <w:rsid w:val="25B43F1B"/>
    <w:rsid w:val="26AB32F1"/>
    <w:rsid w:val="26BE2BC2"/>
    <w:rsid w:val="27131513"/>
    <w:rsid w:val="28227498"/>
    <w:rsid w:val="28980AA7"/>
    <w:rsid w:val="28D71F54"/>
    <w:rsid w:val="29E70694"/>
    <w:rsid w:val="2B6901DD"/>
    <w:rsid w:val="2C18681E"/>
    <w:rsid w:val="2C231B4E"/>
    <w:rsid w:val="2C6006B4"/>
    <w:rsid w:val="2CA42E44"/>
    <w:rsid w:val="2CB71FB9"/>
    <w:rsid w:val="2CC237E2"/>
    <w:rsid w:val="2CF464EE"/>
    <w:rsid w:val="2DAC1AC9"/>
    <w:rsid w:val="2DC166EA"/>
    <w:rsid w:val="2DDD3841"/>
    <w:rsid w:val="2E4156F1"/>
    <w:rsid w:val="2E5A7DCF"/>
    <w:rsid w:val="2EE563D0"/>
    <w:rsid w:val="2F8746F1"/>
    <w:rsid w:val="2F966080"/>
    <w:rsid w:val="302514C3"/>
    <w:rsid w:val="30767E2B"/>
    <w:rsid w:val="31567F11"/>
    <w:rsid w:val="31986ADF"/>
    <w:rsid w:val="31E42097"/>
    <w:rsid w:val="326B1F12"/>
    <w:rsid w:val="33050216"/>
    <w:rsid w:val="346E7358"/>
    <w:rsid w:val="34AB1CA5"/>
    <w:rsid w:val="36DD0610"/>
    <w:rsid w:val="379B0A19"/>
    <w:rsid w:val="384108B3"/>
    <w:rsid w:val="38DF39A4"/>
    <w:rsid w:val="3926621B"/>
    <w:rsid w:val="39295FBF"/>
    <w:rsid w:val="39C15CA6"/>
    <w:rsid w:val="3AA969EC"/>
    <w:rsid w:val="3BAE3B48"/>
    <w:rsid w:val="3C175C1A"/>
    <w:rsid w:val="3CFA784A"/>
    <w:rsid w:val="3D5A340D"/>
    <w:rsid w:val="3DEC5206"/>
    <w:rsid w:val="40B827AC"/>
    <w:rsid w:val="42FE2D4B"/>
    <w:rsid w:val="43AA53C5"/>
    <w:rsid w:val="44C74C20"/>
    <w:rsid w:val="45E24D77"/>
    <w:rsid w:val="467839F3"/>
    <w:rsid w:val="472D5DE1"/>
    <w:rsid w:val="47771730"/>
    <w:rsid w:val="47F73DAB"/>
    <w:rsid w:val="48566196"/>
    <w:rsid w:val="488749DA"/>
    <w:rsid w:val="49F47F85"/>
    <w:rsid w:val="4A167CCB"/>
    <w:rsid w:val="4A89514C"/>
    <w:rsid w:val="4BD34B7E"/>
    <w:rsid w:val="4BDD5440"/>
    <w:rsid w:val="4D50557C"/>
    <w:rsid w:val="4DE73FBE"/>
    <w:rsid w:val="4E99600D"/>
    <w:rsid w:val="4EE56DEE"/>
    <w:rsid w:val="4F885E50"/>
    <w:rsid w:val="50217565"/>
    <w:rsid w:val="50636631"/>
    <w:rsid w:val="50975AAA"/>
    <w:rsid w:val="50DE0682"/>
    <w:rsid w:val="515600B0"/>
    <w:rsid w:val="523B6FBE"/>
    <w:rsid w:val="52410136"/>
    <w:rsid w:val="53042819"/>
    <w:rsid w:val="555003A9"/>
    <w:rsid w:val="56170B4E"/>
    <w:rsid w:val="56A14986"/>
    <w:rsid w:val="56C52D8F"/>
    <w:rsid w:val="56E76D28"/>
    <w:rsid w:val="56EF6149"/>
    <w:rsid w:val="573A0456"/>
    <w:rsid w:val="575D7BF4"/>
    <w:rsid w:val="57A45DEE"/>
    <w:rsid w:val="57D836D0"/>
    <w:rsid w:val="57F82BFB"/>
    <w:rsid w:val="596C57CC"/>
    <w:rsid w:val="5A390667"/>
    <w:rsid w:val="5B243FD0"/>
    <w:rsid w:val="5CBE4CFC"/>
    <w:rsid w:val="5E86506A"/>
    <w:rsid w:val="5F705577"/>
    <w:rsid w:val="600D6E04"/>
    <w:rsid w:val="60132474"/>
    <w:rsid w:val="6120773F"/>
    <w:rsid w:val="61590AA7"/>
    <w:rsid w:val="61783AB3"/>
    <w:rsid w:val="6284368C"/>
    <w:rsid w:val="62D4537F"/>
    <w:rsid w:val="62EF6082"/>
    <w:rsid w:val="65B42A51"/>
    <w:rsid w:val="66204C60"/>
    <w:rsid w:val="6652014A"/>
    <w:rsid w:val="66B91B71"/>
    <w:rsid w:val="66FF6366"/>
    <w:rsid w:val="67061BCB"/>
    <w:rsid w:val="68561C09"/>
    <w:rsid w:val="686F6763"/>
    <w:rsid w:val="68AD0738"/>
    <w:rsid w:val="68ED5493"/>
    <w:rsid w:val="690A6035"/>
    <w:rsid w:val="69F44680"/>
    <w:rsid w:val="69FD3316"/>
    <w:rsid w:val="6B092C56"/>
    <w:rsid w:val="6C3E464B"/>
    <w:rsid w:val="6CA2123A"/>
    <w:rsid w:val="6D386D81"/>
    <w:rsid w:val="6D3B759D"/>
    <w:rsid w:val="6E4230CB"/>
    <w:rsid w:val="6E71410F"/>
    <w:rsid w:val="6E773334"/>
    <w:rsid w:val="6E7D6336"/>
    <w:rsid w:val="6FC60D84"/>
    <w:rsid w:val="70994418"/>
    <w:rsid w:val="70EA4C5A"/>
    <w:rsid w:val="7105265D"/>
    <w:rsid w:val="73370389"/>
    <w:rsid w:val="738D4F57"/>
    <w:rsid w:val="73F1622C"/>
    <w:rsid w:val="75414282"/>
    <w:rsid w:val="76171DF4"/>
    <w:rsid w:val="763B272B"/>
    <w:rsid w:val="76710C7A"/>
    <w:rsid w:val="7684357D"/>
    <w:rsid w:val="76B969ED"/>
    <w:rsid w:val="76E93325"/>
    <w:rsid w:val="7794040E"/>
    <w:rsid w:val="78533B05"/>
    <w:rsid w:val="78B45ADC"/>
    <w:rsid w:val="78DE35AB"/>
    <w:rsid w:val="793300CF"/>
    <w:rsid w:val="7993763A"/>
    <w:rsid w:val="79D67ABB"/>
    <w:rsid w:val="7A701158"/>
    <w:rsid w:val="7B1F628B"/>
    <w:rsid w:val="7B391F2E"/>
    <w:rsid w:val="7B6E5249"/>
    <w:rsid w:val="7D635F4C"/>
    <w:rsid w:val="7D9D477D"/>
    <w:rsid w:val="7E3D00AE"/>
    <w:rsid w:val="7E600FAF"/>
    <w:rsid w:val="7FC8581C"/>
    <w:rsid w:val="7FCD5170"/>
    <w:rsid w:val="7FFE5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basedOn w:val="41"/>
    <w:semiHidden/>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Heading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Body Text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833</Words>
  <Characters>4753</Characters>
  <Lines>39</Lines>
  <Paragraphs>11</Paragraphs>
  <TotalTime>9</TotalTime>
  <ScaleCrop>false</ScaleCrop>
  <LinksUpToDate>false</LinksUpToDate>
  <CharactersWithSpaces>5575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2024-05-16T07:24:00Z</dcterms:created>
  <dc:creator>Michael Sanders, John M Meredith</dc:creator>
  <cp:lastModifiedBy>ZTE</cp:lastModifiedBy>
  <cp:lastPrinted>2411-12-31T07:00:00Z</cp:lastPrinted>
  <dcterms:modified xsi:type="dcterms:W3CDTF">2024-08-08T22:19:21Z</dcterms:modified>
  <dc:title>MTG_TITLE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2052-11.8.2.10393</vt:lpwstr>
  </property>
  <property fmtid="{D5CDD505-2E9C-101B-9397-08002B2CF9AE}" pid="43" name="ICV">
    <vt:lpwstr>1AC1232BD2014550A312E57B15644B90</vt:lpwstr>
  </property>
</Properties>
</file>